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7A40" w14:textId="23F91630" w:rsidR="00F72E51" w:rsidRDefault="00732FA9" w:rsidP="006D3B32">
      <w:pPr>
        <w:jc w:val="center"/>
        <w:rPr>
          <w:sz w:val="32"/>
          <w:szCs w:val="32"/>
        </w:rPr>
      </w:pPr>
      <w:r w:rsidRPr="006D3B32">
        <w:rPr>
          <w:rFonts w:hint="eastAsia"/>
          <w:sz w:val="32"/>
          <w:szCs w:val="32"/>
        </w:rPr>
        <w:t>令和</w:t>
      </w:r>
      <w:r w:rsidR="006D3B32">
        <w:rPr>
          <w:rFonts w:hint="eastAsia"/>
          <w:sz w:val="32"/>
          <w:szCs w:val="32"/>
        </w:rPr>
        <w:t>４</w:t>
      </w:r>
      <w:r w:rsidRPr="006D3B32">
        <w:rPr>
          <w:rFonts w:hint="eastAsia"/>
          <w:sz w:val="32"/>
          <w:szCs w:val="32"/>
        </w:rPr>
        <w:t>年度　住宅用火災警報器</w:t>
      </w:r>
      <w:r w:rsidR="006D3B32">
        <w:rPr>
          <w:rFonts w:hint="eastAsia"/>
          <w:sz w:val="32"/>
          <w:szCs w:val="32"/>
        </w:rPr>
        <w:t>設置調査について</w:t>
      </w:r>
    </w:p>
    <w:p w14:paraId="25D4EAB5" w14:textId="1A6C17FA" w:rsidR="006D3B32" w:rsidRDefault="006D3B32" w:rsidP="006D3B32">
      <w:pPr>
        <w:jc w:val="left"/>
        <w:rPr>
          <w:sz w:val="28"/>
          <w:szCs w:val="28"/>
        </w:rPr>
      </w:pPr>
    </w:p>
    <w:p w14:paraId="3FE08778" w14:textId="32EC9F68" w:rsidR="006D3B32" w:rsidRDefault="006D3B32" w:rsidP="001E5FF0">
      <w:pPr>
        <w:spacing w:line="600" w:lineRule="exact"/>
        <w:jc w:val="left"/>
        <w:rPr>
          <w:sz w:val="28"/>
          <w:szCs w:val="28"/>
        </w:rPr>
      </w:pPr>
      <w:r>
        <w:rPr>
          <w:rFonts w:hint="eastAsia"/>
          <w:sz w:val="28"/>
          <w:szCs w:val="28"/>
        </w:rPr>
        <w:t xml:space="preserve">　遠賀郡におきまして住宅用火災警報器の設置義務化となり１０年を経過したことに伴い、</w:t>
      </w:r>
      <w:r w:rsidR="00AE5CBD">
        <w:rPr>
          <w:rFonts w:hint="eastAsia"/>
          <w:sz w:val="28"/>
          <w:szCs w:val="28"/>
        </w:rPr>
        <w:t>例年、</w:t>
      </w:r>
      <w:r>
        <w:rPr>
          <w:rFonts w:hint="eastAsia"/>
          <w:sz w:val="28"/>
          <w:szCs w:val="28"/>
        </w:rPr>
        <w:t>下記のとおり設置及び維持管理について</w:t>
      </w:r>
      <w:r w:rsidR="001E5FF0">
        <w:rPr>
          <w:rFonts w:hint="eastAsia"/>
          <w:sz w:val="28"/>
          <w:szCs w:val="28"/>
        </w:rPr>
        <w:t>当消防本部職員が戸別訪問調査を</w:t>
      </w:r>
      <w:r w:rsidR="00AE5CBD">
        <w:rPr>
          <w:rFonts w:hint="eastAsia"/>
          <w:sz w:val="28"/>
          <w:szCs w:val="28"/>
        </w:rPr>
        <w:t>実施してい</w:t>
      </w:r>
      <w:r w:rsidR="001E5FF0">
        <w:rPr>
          <w:rFonts w:hint="eastAsia"/>
          <w:sz w:val="28"/>
          <w:szCs w:val="28"/>
        </w:rPr>
        <w:t>ます。</w:t>
      </w:r>
    </w:p>
    <w:p w14:paraId="70BCD9BD" w14:textId="77777777" w:rsidR="001E5FF0" w:rsidRDefault="001E5FF0" w:rsidP="001E5FF0">
      <w:pPr>
        <w:spacing w:line="600" w:lineRule="exact"/>
        <w:jc w:val="left"/>
        <w:rPr>
          <w:sz w:val="28"/>
          <w:szCs w:val="28"/>
        </w:rPr>
      </w:pPr>
      <w:r>
        <w:rPr>
          <w:rFonts w:hint="eastAsia"/>
          <w:sz w:val="28"/>
          <w:szCs w:val="28"/>
        </w:rPr>
        <w:t xml:space="preserve">　つきましては、身分証明証を携行した職員がご自宅にお伺いすることがありますので聞き取り調査にご協力ください。</w:t>
      </w:r>
    </w:p>
    <w:p w14:paraId="4F76BB80" w14:textId="582D21D6" w:rsidR="001E5FF0" w:rsidRDefault="001E5FF0" w:rsidP="001E5FF0">
      <w:pPr>
        <w:spacing w:line="600" w:lineRule="exact"/>
        <w:ind w:firstLineChars="100" w:firstLine="280"/>
        <w:jc w:val="left"/>
        <w:rPr>
          <w:sz w:val="28"/>
          <w:szCs w:val="28"/>
        </w:rPr>
      </w:pPr>
      <w:r>
        <w:rPr>
          <w:rFonts w:hint="eastAsia"/>
          <w:sz w:val="28"/>
          <w:szCs w:val="28"/>
        </w:rPr>
        <w:t>なお、調査については任意抽出による調査未実施地区を計画しており</w:t>
      </w:r>
      <w:r w:rsidR="00854165">
        <w:rPr>
          <w:rFonts w:hint="eastAsia"/>
          <w:sz w:val="28"/>
          <w:szCs w:val="28"/>
        </w:rPr>
        <w:t>ますが</w:t>
      </w:r>
      <w:r>
        <w:rPr>
          <w:rFonts w:hint="eastAsia"/>
          <w:sz w:val="28"/>
          <w:szCs w:val="28"/>
        </w:rPr>
        <w:t>ご自宅に入</w:t>
      </w:r>
      <w:r w:rsidR="00130386">
        <w:rPr>
          <w:rFonts w:hint="eastAsia"/>
          <w:sz w:val="28"/>
          <w:szCs w:val="28"/>
        </w:rPr>
        <w:t>って</w:t>
      </w:r>
      <w:r w:rsidR="00AE5CBD">
        <w:rPr>
          <w:rFonts w:hint="eastAsia"/>
          <w:sz w:val="28"/>
          <w:szCs w:val="28"/>
        </w:rPr>
        <w:t>の</w:t>
      </w:r>
      <w:r w:rsidR="00130386">
        <w:rPr>
          <w:rFonts w:hint="eastAsia"/>
          <w:sz w:val="28"/>
          <w:szCs w:val="28"/>
        </w:rPr>
        <w:t>確認</w:t>
      </w:r>
      <w:r w:rsidR="00AE5CBD">
        <w:rPr>
          <w:rFonts w:hint="eastAsia"/>
          <w:sz w:val="28"/>
          <w:szCs w:val="28"/>
        </w:rPr>
        <w:t>は</w:t>
      </w:r>
      <w:r>
        <w:rPr>
          <w:rFonts w:hint="eastAsia"/>
          <w:sz w:val="28"/>
          <w:szCs w:val="28"/>
        </w:rPr>
        <w:t>ございません。</w:t>
      </w:r>
    </w:p>
    <w:p w14:paraId="2B03D648" w14:textId="4D4049CB" w:rsidR="00130386" w:rsidRPr="00AE5CBD" w:rsidRDefault="00130386" w:rsidP="001E5FF0">
      <w:pPr>
        <w:spacing w:line="600" w:lineRule="exact"/>
        <w:ind w:firstLineChars="100" w:firstLine="280"/>
        <w:jc w:val="left"/>
        <w:rPr>
          <w:sz w:val="28"/>
          <w:szCs w:val="28"/>
        </w:rPr>
      </w:pPr>
    </w:p>
    <w:p w14:paraId="365BCF15" w14:textId="7F961ABF" w:rsidR="00130386" w:rsidRDefault="00130386" w:rsidP="001E5FF0">
      <w:pPr>
        <w:spacing w:line="600" w:lineRule="exact"/>
        <w:ind w:firstLineChars="100" w:firstLine="280"/>
        <w:jc w:val="left"/>
        <w:rPr>
          <w:sz w:val="28"/>
          <w:szCs w:val="28"/>
        </w:rPr>
      </w:pPr>
      <w:r>
        <w:rPr>
          <w:rFonts w:hint="eastAsia"/>
          <w:sz w:val="28"/>
          <w:szCs w:val="28"/>
        </w:rPr>
        <w:t>期間　令和4年11月、令和5年の</w:t>
      </w:r>
      <w:r w:rsidR="00AE5CBD">
        <w:rPr>
          <w:rFonts w:hint="eastAsia"/>
          <w:sz w:val="28"/>
          <w:szCs w:val="28"/>
        </w:rPr>
        <w:t>3月の</w:t>
      </w:r>
      <w:r>
        <w:rPr>
          <w:rFonts w:hint="eastAsia"/>
          <w:sz w:val="28"/>
          <w:szCs w:val="28"/>
        </w:rPr>
        <w:t>火災予防週間中に実施予定</w:t>
      </w:r>
    </w:p>
    <w:p w14:paraId="275F577D" w14:textId="368DB507" w:rsidR="00130386" w:rsidRDefault="00130386" w:rsidP="001E5FF0">
      <w:pPr>
        <w:spacing w:line="600" w:lineRule="exact"/>
        <w:ind w:firstLineChars="100" w:firstLine="280"/>
        <w:jc w:val="left"/>
        <w:rPr>
          <w:sz w:val="28"/>
          <w:szCs w:val="28"/>
        </w:rPr>
      </w:pPr>
      <w:r>
        <w:rPr>
          <w:rFonts w:hint="eastAsia"/>
          <w:sz w:val="28"/>
          <w:szCs w:val="28"/>
        </w:rPr>
        <w:t>対象　遠賀郡４町において調査未実施の約１００件（任意抽出による）</w:t>
      </w:r>
    </w:p>
    <w:p w14:paraId="756698FE" w14:textId="0E603C8E" w:rsidR="00195E20" w:rsidRDefault="00195E20" w:rsidP="001E5FF0">
      <w:pPr>
        <w:spacing w:line="600" w:lineRule="exact"/>
        <w:ind w:firstLineChars="100" w:firstLine="280"/>
        <w:jc w:val="left"/>
        <w:rPr>
          <w:sz w:val="28"/>
          <w:szCs w:val="28"/>
        </w:rPr>
      </w:pPr>
      <w:r>
        <w:rPr>
          <w:rFonts w:hint="eastAsia"/>
          <w:sz w:val="28"/>
          <w:szCs w:val="28"/>
        </w:rPr>
        <w:t>問い合わせ　遠賀郡消防本部　予防課　２９３－８１２５（直通）</w:t>
      </w:r>
    </w:p>
    <w:p w14:paraId="1996D2F9" w14:textId="01EC0539" w:rsidR="00945B18" w:rsidRDefault="00945B18" w:rsidP="001E5FF0">
      <w:pPr>
        <w:spacing w:line="600" w:lineRule="exact"/>
        <w:ind w:firstLineChars="100" w:firstLine="280"/>
        <w:jc w:val="left"/>
        <w:rPr>
          <w:sz w:val="28"/>
          <w:szCs w:val="28"/>
        </w:rPr>
      </w:pPr>
    </w:p>
    <w:p w14:paraId="0784C407" w14:textId="2C36C6ED" w:rsidR="00945B18" w:rsidRDefault="009A4F63" w:rsidP="001E5FF0">
      <w:pPr>
        <w:spacing w:line="600" w:lineRule="exact"/>
        <w:ind w:firstLineChars="100" w:firstLine="280"/>
        <w:jc w:val="left"/>
        <w:rPr>
          <w:sz w:val="28"/>
          <w:szCs w:val="28"/>
        </w:rPr>
      </w:pPr>
      <w:r>
        <w:rPr>
          <w:noProof/>
          <w:sz w:val="28"/>
          <w:szCs w:val="28"/>
        </w:rPr>
        <w:drawing>
          <wp:anchor distT="0" distB="0" distL="114300" distR="114300" simplePos="0" relativeHeight="251658240" behindDoc="1" locked="0" layoutInCell="1" allowOverlap="1" wp14:anchorId="789D2C1F" wp14:editId="291A29D6">
            <wp:simplePos x="0" y="0"/>
            <wp:positionH relativeFrom="margin">
              <wp:posOffset>2442845</wp:posOffset>
            </wp:positionH>
            <wp:positionV relativeFrom="paragraph">
              <wp:posOffset>172720</wp:posOffset>
            </wp:positionV>
            <wp:extent cx="3154680" cy="2557780"/>
            <wp:effectExtent l="0" t="0" r="7620" b="0"/>
            <wp:wrapTight wrapText="bothSides">
              <wp:wrapPolygon edited="0">
                <wp:start x="0" y="0"/>
                <wp:lineTo x="0" y="21396"/>
                <wp:lineTo x="21522" y="21396"/>
                <wp:lineTo x="2152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680" cy="255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4514E" w14:textId="0D9BC73A" w:rsidR="00945B18" w:rsidRDefault="00945B18" w:rsidP="00044E10">
      <w:pPr>
        <w:spacing w:line="600" w:lineRule="exact"/>
        <w:jc w:val="left"/>
        <w:rPr>
          <w:sz w:val="28"/>
          <w:szCs w:val="28"/>
        </w:rPr>
      </w:pPr>
    </w:p>
    <w:p w14:paraId="19C7AF50" w14:textId="77FC9F7F" w:rsidR="00044E10" w:rsidRDefault="00044E10" w:rsidP="00044E10">
      <w:pPr>
        <w:spacing w:line="600" w:lineRule="exact"/>
        <w:jc w:val="left"/>
        <w:rPr>
          <w:sz w:val="28"/>
          <w:szCs w:val="28"/>
        </w:rPr>
      </w:pPr>
    </w:p>
    <w:p w14:paraId="58ECCE87" w14:textId="2D4A5074" w:rsidR="00044E10" w:rsidRDefault="00044E10" w:rsidP="001E5FF0">
      <w:pPr>
        <w:spacing w:line="600" w:lineRule="exact"/>
        <w:ind w:firstLineChars="100" w:firstLine="280"/>
        <w:jc w:val="left"/>
        <w:rPr>
          <w:sz w:val="28"/>
          <w:szCs w:val="28"/>
        </w:rPr>
      </w:pPr>
    </w:p>
    <w:p w14:paraId="37D56A46" w14:textId="4CF88B65" w:rsidR="00044E10" w:rsidRDefault="00044E10" w:rsidP="001E5FF0">
      <w:pPr>
        <w:spacing w:line="600" w:lineRule="exact"/>
        <w:ind w:firstLineChars="100" w:firstLine="280"/>
        <w:jc w:val="left"/>
        <w:rPr>
          <w:sz w:val="28"/>
          <w:szCs w:val="28"/>
        </w:rPr>
      </w:pPr>
    </w:p>
    <w:p w14:paraId="63E98DC6" w14:textId="283EF63D" w:rsidR="00044E10" w:rsidRDefault="00B030D1" w:rsidP="001E5FF0">
      <w:pPr>
        <w:spacing w:line="600" w:lineRule="exact"/>
        <w:ind w:firstLineChars="100" w:firstLine="280"/>
        <w:jc w:val="left"/>
        <w:rPr>
          <w:sz w:val="28"/>
          <w:szCs w:val="28"/>
        </w:rPr>
      </w:pPr>
      <w:r>
        <w:rPr>
          <w:noProof/>
          <w:sz w:val="28"/>
          <w:szCs w:val="28"/>
        </w:rPr>
        <mc:AlternateContent>
          <mc:Choice Requires="wps">
            <w:drawing>
              <wp:anchor distT="0" distB="0" distL="114300" distR="114300" simplePos="0" relativeHeight="251659264" behindDoc="0" locked="0" layoutInCell="1" allowOverlap="1" wp14:anchorId="0D715C66" wp14:editId="4293EC44">
                <wp:simplePos x="0" y="0"/>
                <wp:positionH relativeFrom="column">
                  <wp:posOffset>233045</wp:posOffset>
                </wp:positionH>
                <wp:positionV relativeFrom="paragraph">
                  <wp:posOffset>29845</wp:posOffset>
                </wp:positionV>
                <wp:extent cx="581025" cy="390525"/>
                <wp:effectExtent l="0" t="0" r="9525" b="9525"/>
                <wp:wrapNone/>
                <wp:docPr id="11" name="楕円 11"/>
                <wp:cNvGraphicFramePr/>
                <a:graphic xmlns:a="http://schemas.openxmlformats.org/drawingml/2006/main">
                  <a:graphicData uri="http://schemas.microsoft.com/office/word/2010/wordprocessingShape">
                    <wps:wsp>
                      <wps:cNvSpPr/>
                      <wps:spPr>
                        <a:xfrm>
                          <a:off x="0" y="0"/>
                          <a:ext cx="581025" cy="3905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CE583" id="楕円 11" o:spid="_x0000_s1026" style="position:absolute;left:0;text-align:left;margin-left:18.35pt;margin-top:2.35pt;width:4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BjfAIAAGEFAAAOAAAAZHJzL2Uyb0RvYy54bWysVE1v2zAMvQ/YfxB0X+1kzdYGdYqgRYYB&#10;RVusHXpWZCkWIIuapMTJfv0oyXaytdhhWA4KJT4+fpjk1fW+1WQnnFdgKjo5KykRhkOtzKai359X&#10;Hy4o8YGZmmkwoqIH4en14v27q87OxRQa0LVwBEmMn3e2ok0Idl4UnjeiZf4MrDColOBaFvDqNkXt&#10;WIfsrS6mZfmp6MDV1gEX3uPrbVbSReKXUvDwIKUXgeiKYmwhnS6d63gWiys23zhmG8X7MNg/RNEy&#10;ZdDpSHXLAiNbp15RtYo78CDDGYe2ACkVFykHzGZS/pHNU8OsSLlgcbwdy+T/Hy2/3z3ZR4dl6Kyf&#10;exRjFnvp2viP8ZF9KtZhLJbYB8LxcXYxKaczSjiqPl6WM5SRpTgaW+fDFwEtiUJFhdbK+pgOm7Pd&#10;nQ8ZPaDiswet6pXSOl3cZn2jHdkx/HSrVYm/3sFvMG0i2EA0y4zxpThmk6Rw0CLitPkmJFE1xj9N&#10;kaRGE6MfxrkwYZJVDatFdj879R5bM1qkZBNhZJbof+TuCQZkJhm4c5Q9PpqK1Kejcfm3wLLxaJE8&#10;gwmjcasMuLcINGbVe874oUi5NLFKa6gPj444yFPiLV8p/HR3zIdH5nAscIBw1MMDHlJDV1HoJUoa&#10;cD/feo947FbUUtLhmFXU/9gyJyjRXw328eXk/DzOZbqczz5P8eJONetTjdm2N4DtMMGlYnkSIz7o&#10;QZQO2hfcCMvoFVXMcPRdUR7ccLkJefxxp3CxXCYYzqJl4c48WR7JY1VjXz7vX5izff8GbPx7GEby&#10;VQ9nbLQ0sNwGkCo1+LGufb1xjlPj9DsnLorTe0IdN+PiFwAAAP//AwBQSwMEFAAGAAgAAAAhAB2N&#10;IJ3aAAAABwEAAA8AAABkcnMvZG93bnJldi54bWxMjkFLxDAUhO+C/yE8wZubWt1aa18XETwK7ip4&#10;zTbPpmzyUpp0W/31Zk/uaRhmmPnqzeKsONIYes8It6sMBHHrdc8dwufH600JIkTFWlnPhPBDATbN&#10;5UWtKu1n3tJxFzuRRjhUCsHEOFRShtaQU2HlB+KUffvRqZjs2Ek9qjmNOyvzLCukUz2nB6MGejHU&#10;HnaTQ4jz+nf7tc6j6bLSHnh6DPP7G+L11fL8BCLSEv/LcMJP6NAkpr2fWAdhEe6Kh9REuE9yivMy&#10;B7FHKIocZFPLc/7mDwAA//8DAFBLAQItABQABgAIAAAAIQC2gziS/gAAAOEBAAATAAAAAAAAAAAA&#10;AAAAAAAAAABbQ29udGVudF9UeXBlc10ueG1sUEsBAi0AFAAGAAgAAAAhADj9If/WAAAAlAEAAAsA&#10;AAAAAAAAAAAAAAAALwEAAF9yZWxzLy5yZWxzUEsBAi0AFAAGAAgAAAAhAE/WcGN8AgAAYQUAAA4A&#10;AAAAAAAAAAAAAAAALgIAAGRycy9lMm9Eb2MueG1sUEsBAi0AFAAGAAgAAAAhAB2NIJ3aAAAABwEA&#10;AA8AAAAAAAAAAAAAAAAA1gQAAGRycy9kb3ducmV2LnhtbFBLBQYAAAAABAAEAPMAAADdBQAAAAA=&#10;" fillcolor="red" stroked="f" strokeweight="1pt">
                <v:stroke joinstyle="miter"/>
              </v:oval>
            </w:pict>
          </mc:Fallback>
        </mc:AlternateContent>
      </w:r>
      <w:r>
        <w:rPr>
          <w:rFonts w:hint="eastAsia"/>
          <w:sz w:val="28"/>
          <w:szCs w:val="28"/>
        </w:rPr>
        <w:t xml:space="preserve">　　　　寝室階段義務設置</w:t>
      </w:r>
    </w:p>
    <w:p w14:paraId="5D9988CE" w14:textId="2AD0CB67" w:rsidR="00044E10" w:rsidRDefault="00B030D1" w:rsidP="001E5FF0">
      <w:pPr>
        <w:spacing w:line="600" w:lineRule="exact"/>
        <w:ind w:firstLineChars="100" w:firstLine="280"/>
        <w:jc w:val="left"/>
        <w:rPr>
          <w:sz w:val="28"/>
          <w:szCs w:val="28"/>
        </w:rPr>
      </w:pPr>
      <w:r>
        <w:rPr>
          <w:noProof/>
          <w:sz w:val="28"/>
          <w:szCs w:val="28"/>
        </w:rPr>
        <mc:AlternateContent>
          <mc:Choice Requires="wps">
            <w:drawing>
              <wp:anchor distT="0" distB="0" distL="114300" distR="114300" simplePos="0" relativeHeight="251660288" behindDoc="0" locked="0" layoutInCell="1" allowOverlap="1" wp14:anchorId="4F45AC6F" wp14:editId="2A597B7D">
                <wp:simplePos x="0" y="0"/>
                <wp:positionH relativeFrom="column">
                  <wp:posOffset>233045</wp:posOffset>
                </wp:positionH>
                <wp:positionV relativeFrom="paragraph">
                  <wp:posOffset>67310</wp:posOffset>
                </wp:positionV>
                <wp:extent cx="552450" cy="3333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5524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DF7AE" id="楕円 12" o:spid="_x0000_s1026" style="position:absolute;left:0;text-align:left;margin-left:18.35pt;margin-top:5.3pt;width:4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9WwIAABUFAAAOAAAAZHJzL2Uyb0RvYy54bWysVFFv2yAQfp+0/4B4X+1kybpFdaqoVadJ&#10;VRstnfpMMdRImGMHiZP9+h3Ycaq12sM0P2Dg7j7uPr7j4nLfWrZTGAy4ik/OSs6Uk1Ab91zxHw83&#10;Hz5zFqJwtbDgVMUPKvDL5ft3F51fqCk0YGuFjEBcWHS+4k2MflEUQTaqFeEMvHJk1ICtiLTE56JG&#10;0RF6a4tpWX4qOsDaI0gVAu1e90a+zPhaKxnvtQ4qMltxyi3mEfP4lMZieSEWzyh8Y+SQhviHLFph&#10;HB06Ql2LKNgWzSuo1kiEADqeSWgL0NpIlWugaiblH9VsGuFVroXICX6kKfw/WHm32/g1Eg2dD4tA&#10;01TFXmOb/pQf22eyDiNZah+ZpM35fDqbE6WSTB/pO58nMotTsMcQvypoWZpUXFlrfEjliIXY3YbY&#10;ex+9KPSUQZ7Fg1XJ2brvSjNT05nTHJ3Foa4ssp2gaxVSKhcnvakRteq35yV9Q0pjRE4wAyZkbawd&#10;sQeAJLzX2H2ug38KVVlbY3D5t8T64DEinwwujsGtcYBvAViqaji59z+S1FOTWHqC+rBGhtArO3h5&#10;Y4juWxHiWiBJmW6I2jPe06AtdBWHYcZZA/jrrf3kTwojK2cdtUbFw8+tQMWZ/eZIe18ms1nqpbyY&#10;zc+ntMCXlqeXFrdtr4CuaUIPgZd5mvyjPU41QvtIXbxKp5JJOElnV1xGPC6uYt+y9A5ItVplN+of&#10;L+Kt23iZwBOrSUsP+0eBftBcJLHewbGNXumu902RDlbbCNpkUZ54Hfim3svCGd6J1Nwv19nr9Jot&#10;fwMAAP//AwBQSwMEFAAGAAgAAAAhAPHv30TdAAAACAEAAA8AAABkcnMvZG93bnJldi54bWxMj8FO&#10;wzAQRO9I/IO1SNyo3QaFEuJUCCkSIHEghLsbL0nUeB3FThv4erYnOO7MaPZNvlvcII44hd6ThvVK&#10;gUBqvO2p1VB/lDdbECEasmbwhBq+McCuuLzITWb9id7xWMVWcAmFzGjoYhwzKUPToTNh5Uck9r78&#10;5Ezkc2qlncyJy90gN0ql0pme+ENnRnzqsDlUs9Pw81zWfZzvq62qXw9vty+ll/2n1tdXy+MDiIhL&#10;/AvDGZ/RoWCmvZ/JBjFoSNI7TrKuUhBnf5OwsNeQJmuQRS7/Dyh+AQAA//8DAFBLAQItABQABgAI&#10;AAAAIQC2gziS/gAAAOEBAAATAAAAAAAAAAAAAAAAAAAAAABbQ29udGVudF9UeXBlc10ueG1sUEsB&#10;Ai0AFAAGAAgAAAAhADj9If/WAAAAlAEAAAsAAAAAAAAAAAAAAAAALwEAAF9yZWxzLy5yZWxzUEsB&#10;Ai0AFAAGAAgAAAAhAMqH631bAgAAFQUAAA4AAAAAAAAAAAAAAAAALgIAAGRycy9lMm9Eb2MueG1s&#10;UEsBAi0AFAAGAAgAAAAhAPHv30TdAAAACAEAAA8AAAAAAAAAAAAAAAAAtQQAAGRycy9kb3ducmV2&#10;LnhtbFBLBQYAAAAABAAEAPMAAAC/BQAAAAA=&#10;" fillcolor="#4472c4 [3204]" strokecolor="#1f3763 [1604]" strokeweight="1pt">
                <v:stroke joinstyle="miter"/>
              </v:oval>
            </w:pict>
          </mc:Fallback>
        </mc:AlternateContent>
      </w:r>
      <w:r>
        <w:rPr>
          <w:rFonts w:hint="eastAsia"/>
          <w:sz w:val="28"/>
          <w:szCs w:val="28"/>
        </w:rPr>
        <w:t xml:space="preserve">　　　　台所任意設置　</w:t>
      </w:r>
    </w:p>
    <w:p w14:paraId="46635D7C" w14:textId="0220E2E3" w:rsidR="00044E10" w:rsidRDefault="00044E10" w:rsidP="001E5FF0">
      <w:pPr>
        <w:spacing w:line="600" w:lineRule="exact"/>
        <w:ind w:firstLineChars="100" w:firstLine="280"/>
        <w:jc w:val="left"/>
        <w:rPr>
          <w:sz w:val="28"/>
          <w:szCs w:val="28"/>
        </w:rPr>
      </w:pPr>
    </w:p>
    <w:p w14:paraId="5B79DDE0" w14:textId="4EA91961" w:rsidR="009A4F63" w:rsidRPr="00AE5CBD" w:rsidRDefault="00854165" w:rsidP="00AE5CBD">
      <w:pPr>
        <w:spacing w:line="600" w:lineRule="exact"/>
        <w:jc w:val="left"/>
        <w:rPr>
          <w:sz w:val="32"/>
          <w:szCs w:val="32"/>
          <w:u w:val="single"/>
        </w:rPr>
      </w:pPr>
      <w:r w:rsidRPr="00AE5CBD">
        <w:rPr>
          <w:rFonts w:hint="eastAsia"/>
          <w:sz w:val="32"/>
          <w:szCs w:val="32"/>
          <w:u w:val="single"/>
        </w:rPr>
        <w:t>※悪質な消火器、住宅用防災機器の訪問販売にご注意ください。</w:t>
      </w:r>
    </w:p>
    <w:sectPr w:rsidR="009A4F63" w:rsidRPr="00AE5CBD" w:rsidSect="00854165">
      <w:pgSz w:w="11906" w:h="16838" w:code="9"/>
      <w:pgMar w:top="1134" w:right="1133" w:bottom="993"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04C39"/>
    <w:multiLevelType w:val="hybridMultilevel"/>
    <w:tmpl w:val="6B762308"/>
    <w:lvl w:ilvl="0" w:tplc="5E44B03C">
      <w:numFmt w:val="bullet"/>
      <w:lvlText w:val="※"/>
      <w:lvlJc w:val="left"/>
      <w:pPr>
        <w:ind w:left="640" w:hanging="360"/>
      </w:pPr>
      <w:rPr>
        <w:rFonts w:ascii="游明朝" w:eastAsia="游明朝" w:hAnsi="游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89393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A9"/>
    <w:rsid w:val="00044E10"/>
    <w:rsid w:val="00130386"/>
    <w:rsid w:val="00195E20"/>
    <w:rsid w:val="001D3D4A"/>
    <w:rsid w:val="001E5FF0"/>
    <w:rsid w:val="0054073D"/>
    <w:rsid w:val="005673DB"/>
    <w:rsid w:val="005E33F1"/>
    <w:rsid w:val="00671F3D"/>
    <w:rsid w:val="006D3B32"/>
    <w:rsid w:val="00732FA9"/>
    <w:rsid w:val="00854165"/>
    <w:rsid w:val="00945B18"/>
    <w:rsid w:val="009A4F63"/>
    <w:rsid w:val="00AE5CBD"/>
    <w:rsid w:val="00B030D1"/>
    <w:rsid w:val="00BB4089"/>
    <w:rsid w:val="00F7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DF8C6"/>
  <w15:chartTrackingRefBased/>
  <w15:docId w15:val="{B77D1A22-934A-4236-9038-D1F8D53A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2022-04-11T04:29:00Z</dcterms:created>
  <dcterms:modified xsi:type="dcterms:W3CDTF">2022-04-11T05:34:00Z</dcterms:modified>
</cp:coreProperties>
</file>